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>Checkliste Mieterwechsel für die Hausverwaltung</w:t>
      </w:r>
    </w:p>
    <w:p>
      <w:pPr>
        <w:pStyle w:val="Nebentext"/>
      </w:pPr>
      <w:r>
        <w:t>Checkliste aus Sicht der Verwaltung für die Mietverwaltung, Stand November 2026. Keine Rechtsberatung. Fristen und Pflichten ergeben sich aus Mietvertrag und Gesetz, prüfen Sie diese im Einzelfall.</w:t>
      </w:r>
    </w:p>
    <w:p>
      <w:pPr>
        <w:pStyle w:val="Heading2"/>
      </w:pPr>
      <w:r>
        <w:t>Sobald die Kündigung da ist</w:t>
      </w:r>
    </w:p>
    <w:p>
      <w:r>
        <w:t>☐  Eingang der Kündigung dokumentieren, Mietende nach Vertrag prüfen und schriftlich bestätigen.</w:t>
      </w:r>
    </w:p>
    <w:p>
      <w:r>
        <w:t>☐  Eigentümerin oder Eigentümer informieren, Wünsche zur Neuvermietung und zu Arbeiten in der Wohnung klären.</w:t>
      </w:r>
    </w:p>
    <w:p>
      <w:r>
        <w:t>☐  Termin für eine Vorbesichtigung vereinbaren, notwendige Arbeiten vorab erkennen.</w:t>
      </w:r>
    </w:p>
    <w:p>
      <w:r>
        <w:t>☐  Schlüsselliste aus der Akte heraussuchen.</w:t>
      </w:r>
    </w:p>
    <w:p>
      <w:r>
        <w:t>☐  Messdienst und, wo die Verwaltung zuständig ist, Versorger über den bevorstehenden Nutzerwechsel vormerken.</w:t>
      </w:r>
    </w:p>
    <w:p>
      <w:pPr>
        <w:pStyle w:val="Heading2"/>
      </w:pPr>
      <w:r>
        <w:t>Übergabe beim Auszug</w:t>
      </w:r>
    </w:p>
    <w:p>
      <w:r>
        <w:t>☐  Übergabeprotokoll Raum für Raum, Mängel mit Fotos, von beiden Seiten unterschrieben.</w:t>
      </w:r>
    </w:p>
    <w:p>
      <w:r>
        <w:t>☐  Zählerstände mit Zählernummer: Strom, Gas, Wasser, Wärmemengenzähler oder Heizkostenverteiler.</w:t>
      </w:r>
    </w:p>
    <w:p>
      <w:r>
        <w:t>☐  Schlüssel gegen die Liste zählen, fehlende Schlüssel im Protokoll vermerken.</w:t>
      </w:r>
    </w:p>
    <w:p>
      <w:r>
        <w:t>☐  Neue Anschrift der ausziehenden Mietpartei aufnehmen.</w:t>
      </w:r>
    </w:p>
    <w:p>
      <w:pPr>
        <w:pStyle w:val="Heading2"/>
      </w:pPr>
      <w:r>
        <w:t>Nach dem Auszug</w:t>
      </w:r>
    </w:p>
    <w:p>
      <w:r>
        <w:t>☐  Nutzerwechsel mit Datum und Zählerständen an den Messdienst melden.</w:t>
      </w:r>
    </w:p>
    <w:p>
      <w:r>
        <w:t>☐  Zwischenablesung für die Betriebskostenabrechnung in der Akte vermerken.</w:t>
      </w:r>
    </w:p>
    <w:p>
      <w:r>
        <w:t>☐  Abrechnung der Kaution vorbereiten, offene Forderungen und Mängel aus dem Protokoll prüfen.</w:t>
      </w:r>
    </w:p>
    <w:p>
      <w:r>
        <w:t>☐  Namensschilder an Klingel und Briefkasten entfernen.</w:t>
      </w:r>
    </w:p>
    <w:p>
      <w:r>
        <w:t>☐  Leerstand an Eigentümerin oder Eigentümer und an die Buchhaltung melden.</w:t>
      </w:r>
    </w:p>
    <w:p>
      <w:pPr>
        <w:pStyle w:val="Heading2"/>
      </w:pPr>
      <w:r>
        <w:t>Einzug der neuen Mietpartei</w:t>
      </w:r>
    </w:p>
    <w:p>
      <w:r>
        <w:t>☐  Mietvertrag vollständig unterschrieben in der Akte, Eingang der Kaution geprüft.</w:t>
      </w:r>
    </w:p>
    <w:p>
      <w:r>
        <w:t>☐  Übergabeprotokoll beim Einzug mit Zählerständen und Schlüsselausgabe, quittiert.</w:t>
      </w:r>
    </w:p>
    <w:p>
      <w:r>
        <w:t>☐  Wohnungsgeberbestätigung für die Anmeldung beim Einwohnermeldeamt ausstellen.</w:t>
      </w:r>
    </w:p>
    <w:p>
      <w:r>
        <w:t>☐  Stammdaten, Lastschriftmandat und Vorauszahlungen in der Verwaltungssoftware anlegen.</w:t>
      </w:r>
    </w:p>
    <w:p>
      <w:r>
        <w:t>☐  Nutzerwechsel an den Messdienst melden, Namensschilder anbringen.</w:t>
      </w:r>
    </w:p>
    <w:sectPr>
      <w:footerReference w:type="default" r:id="rId6"/>
      <w:pgSz w:w="11906" w:h="16838" w:orient="portrait"/>
      <w:pgMar w:top="1418" w:right="1418" w:bottom="1500" w:left="1418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ost Grotesk">
    <w:family w:val="auto"/>
    <w:pitch w:val="variable"/>
    <w:sig w:usb0="E0002AFF" w:usb1="C000247B" w:usb2="00000009" w:usb3="00000000" w:csb0="000001FF" w:csb1="00000000"/>
    <w:embedRegular r:id="rId1" w:fontKey="{3B226E41-EDBD-4585-C2E4-A63A9145C285}"/>
  </w:font>
  <w:font w:name="Host Grotesk SemiBold">
    <w:family w:val="auto"/>
    <w:pitch w:val="variable"/>
    <w:sig w:usb0="E0002AFF" w:usb1="C000247B" w:usb2="00000009" w:usb3="00000000" w:csb0="000001FF" w:csb1="00000000"/>
    <w:embedRegular r:id="rId2" w:fontKey="{FF32013E-B8C4-5644-970C-070A8B4791A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usszeile"/>
    </w:pPr>
    <w:r>
      <w:t>Vorlage von boring-systems.de/ressourcen · Stand November 2026 ·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·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ost Grotesk" w:cs="Host Grotesk" w:eastAsia="Host Grotesk" w:hAnsi="Host Grotesk"/>
        <w:color w:val="10231A"/>
        <w:sz w:val="21"/>
        <w:szCs w:val="21"/>
        <w:lang w:val="de-DE"/>
      </w:rPr>
    </w:rPrDefault>
    <w:pPrDefault>
      <w:pPr>
        <w:spacing w:after="14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120" w:before="0" w:line="252"/>
    </w:pPr>
    <w:rPr>
      <w:rFonts w:ascii="Host Grotesk SemiBold" w:cs="Host Grotesk SemiBold" w:eastAsia="Host Grotesk SemiBold" w:hAnsi="Host Grotesk SemiBold"/>
      <w:color w:val="14392A"/>
      <w:spacing w:val="-18"/>
      <w:sz w:val="68"/>
      <w:szCs w:val="68"/>
    </w:rPr>
  </w:style>
  <w:style w:type="paragraph" w:styleId="Heading1">
    <w:name w:val="Heading 1"/>
    <w:basedOn w:val="Normal"/>
    <w:next w:val="Normal"/>
    <w:qFormat/>
    <w:pPr>
      <w:keepNext/>
      <w:spacing w:after="140" w:before="400" w:line="264"/>
    </w:pPr>
    <w:rPr>
      <w:rFonts w:ascii="Host Grotesk SemiBold" w:cs="Host Grotesk SemiBold" w:eastAsia="Host Grotesk SemiBold" w:hAnsi="Host Grotesk SemiBold"/>
      <w:color w:val="14392A"/>
      <w:spacing w:val="-8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80" w:before="240" w:line="276"/>
    </w:pPr>
    <w:rPr>
      <w:rFonts w:ascii="Host Grotesk SemiBold" w:cs="Host Grotesk SemiBold" w:eastAsia="Host Grotesk SemiBold" w:hAnsi="Host Grotesk SemiBold"/>
      <w:color w:val="14392A"/>
      <w:spacing w:val="-4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Untertitel">
    <w:name w:val="Untertitel"/>
    <w:basedOn w:val="Normal"/>
    <w:next w:val="Normal"/>
    <w:pPr>
      <w:spacing w:after="240" w:line="276"/>
    </w:pPr>
    <w:rPr>
      <w:rFonts w:ascii="Host Grotesk" w:cs="Host Grotesk" w:eastAsia="Host Grotesk" w:hAnsi="Host Grotesk"/>
      <w:color w:val="47594C"/>
      <w:sz w:val="32"/>
      <w:szCs w:val="32"/>
    </w:rPr>
  </w:style>
  <w:style w:type="paragraph" w:styleId="Nebentext">
    <w:name w:val="Nebentext"/>
    <w:basedOn w:val="Normal"/>
    <w:pPr>
      <w:spacing w:after="40" w:line="260"/>
    </w:pPr>
    <w:rPr>
      <w:rFonts w:ascii="Host Grotesk" w:cs="Host Grotesk" w:eastAsia="Host Grotesk" w:hAnsi="Host Grotesk"/>
      <w:color w:val="47594C"/>
      <w:sz w:val="17"/>
      <w:szCs w:val="17"/>
    </w:rPr>
  </w:style>
  <w:style w:type="paragraph" w:styleId="Tabelle">
    <w:name w:val="Tabellentext"/>
    <w:basedOn w:val="Normal"/>
    <w:pPr>
      <w:spacing w:after="40" w:before="40" w:line="272"/>
    </w:pPr>
    <w:rPr>
      <w:rFonts w:ascii="Host Grotesk" w:cs="Host Grotesk" w:eastAsia="Host Grotesk" w:hAnsi="Host Grotesk"/>
      <w:color w:val="10231A"/>
      <w:sz w:val="19"/>
      <w:szCs w:val="19"/>
    </w:rPr>
  </w:style>
  <w:style w:type="paragraph" w:styleId="TabelleKopf">
    <w:name w:val="Tabellenkopf"/>
    <w:basedOn w:val="Tabelle"/>
    <w:pPr>
      <w:keepNext/>
      <w:spacing w:after="40" w:before="40" w:line="272"/>
    </w:pPr>
    <w:rPr>
      <w:rFonts w:ascii="Host Grotesk SemiBold" w:cs="Host Grotesk SemiBold" w:eastAsia="Host Grotesk SemiBold" w:hAnsi="Host Grotesk SemiBold"/>
      <w:color w:val="14392A"/>
      <w:sz w:val="19"/>
      <w:szCs w:val="19"/>
    </w:rPr>
  </w:style>
  <w:style w:type="paragraph" w:styleId="Zahl">
    <w:name w:val="Preiszahl"/>
    <w:basedOn w:val="Normal"/>
    <w:pPr>
      <w:spacing w:after="20" w:before="40" w:line="264"/>
    </w:pPr>
    <w:rPr>
      <w:rFonts w:ascii="Host Grotesk SemiBold" w:cs="Host Grotesk SemiBold" w:eastAsia="Host Grotesk SemiBold" w:hAnsi="Host Grotesk SemiBold"/>
      <w:color w:val="14392A"/>
      <w:spacing w:val="-6"/>
      <w:sz w:val="30"/>
      <w:szCs w:val="30"/>
    </w:rPr>
  </w:style>
  <w:style w:type="paragraph" w:styleId="Fusszeile">
    <w:name w:val="Fusszeile"/>
    <w:basedOn w:val="Normal"/>
    <w:pPr>
      <w:spacing w:after="0" w:line="230"/>
    </w:pPr>
    <w:rPr>
      <w:rFonts w:ascii="Host Grotesk" w:cs="Host Grotesk" w:eastAsia="Host Grotesk" w:hAnsi="Host Grotesk"/>
      <w:color w:val="47594C"/>
      <w:sz w:val="15"/>
      <w:szCs w:val="15"/>
    </w:rPr>
  </w:style>
  <w:style w:type="paragraph" w:styleId="Listenpunkt">
    <w:name w:val="Listenpunkt"/>
    <w:basedOn w:val="Normal"/>
    <w:pPr>
      <w:spacing w:after="70" w:line="290"/>
    </w:pPr>
  </w:style>
  <w:style w:type="character" w:styleId="Platzhalter">
    <w:name w:val="Platzhalter"/>
    <w:uiPriority w:val="99"/>
    <w:unhideWhenUsed/>
    <w:rPr>
      <w:color w:val="9C4524"/>
    </w:rPr>
  </w:style>
  <w:style w:type="character" w:styleId="Betont">
    <w:name w:val="Betont"/>
    <w:uiPriority w:val="99"/>
    <w:unhideWhenUsed/>
    <w:rPr>
      <w:rFonts w:ascii="Host Grotesk SemiBold" w:cs="Host Grotesk SemiBold" w:eastAsia="Host Grotesk SemiBold" w:hAnsi="Host Grotesk SemiBold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Brief, boring systems</dc:title>
  <dc:creator>Gregor Palyan</dc:creator>
  <dc:description>Vorlage. Felder [OFFEN: …] ausfüllen und entfernen.</dc:description>
  <cp:lastModifiedBy>Gregor Palyan</cp:lastModifiedBy>
  <cp:revision>1</cp:revision>
  <dcterms:created xsi:type="dcterms:W3CDTF">2026-11-06T08:01:33.740Z</dcterms:created>
  <dcterms:modified xsi:type="dcterms:W3CDTF">2026-11-07T12:00:00Z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